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AF4E6" w14:textId="77777777" w:rsidR="00505BFB" w:rsidRPr="001D07A2" w:rsidRDefault="00505BFB" w:rsidP="00FA59C1">
      <w:pPr>
        <w:tabs>
          <w:tab w:val="left" w:pos="4678"/>
        </w:tabs>
        <w:spacing w:after="0" w:line="240" w:lineRule="auto"/>
        <w:ind w:left="0" w:right="62" w:firstLine="0"/>
        <w:rPr>
          <w:b/>
          <w:color w:val="auto"/>
          <w:sz w:val="23"/>
          <w:szCs w:val="23"/>
        </w:rPr>
      </w:pPr>
    </w:p>
    <w:p w14:paraId="770E44CA" w14:textId="00023BEB" w:rsidR="00D47092" w:rsidRPr="001D07A2" w:rsidRDefault="00FD5B8D" w:rsidP="00FA59C1">
      <w:pPr>
        <w:tabs>
          <w:tab w:val="left" w:pos="4678"/>
        </w:tabs>
        <w:spacing w:after="0" w:line="240" w:lineRule="auto"/>
        <w:ind w:left="0" w:right="62" w:firstLine="0"/>
        <w:rPr>
          <w:b/>
          <w:color w:val="auto"/>
          <w:sz w:val="23"/>
          <w:szCs w:val="23"/>
        </w:rPr>
      </w:pPr>
      <w:r w:rsidRPr="001D07A2">
        <w:rPr>
          <w:b/>
          <w:color w:val="auto"/>
          <w:sz w:val="23"/>
          <w:szCs w:val="23"/>
        </w:rPr>
        <w:t>EL CONGRESO DEL ESTADO LIBRE Y SOBERANO DE YUCATÁN, CONFORME CON LO DISPUESTO EN LOS ARTÍCULOS 29 Y 30</w:t>
      </w:r>
      <w:r w:rsidR="00582135" w:rsidRPr="001D07A2">
        <w:rPr>
          <w:b/>
          <w:color w:val="auto"/>
          <w:sz w:val="23"/>
          <w:szCs w:val="23"/>
        </w:rPr>
        <w:t>,</w:t>
      </w:r>
      <w:r w:rsidRPr="001D07A2">
        <w:rPr>
          <w:b/>
          <w:color w:val="auto"/>
          <w:sz w:val="23"/>
          <w:szCs w:val="23"/>
        </w:rPr>
        <w:t xml:space="preserve"> FRACCIÓN V </w:t>
      </w:r>
      <w:r w:rsidR="007D7AE1" w:rsidRPr="001D07A2">
        <w:rPr>
          <w:b/>
          <w:color w:val="auto"/>
          <w:sz w:val="23"/>
          <w:szCs w:val="23"/>
        </w:rPr>
        <w:t>D</w:t>
      </w:r>
      <w:r w:rsidR="00582135" w:rsidRPr="001D07A2">
        <w:rPr>
          <w:b/>
          <w:color w:val="auto"/>
          <w:sz w:val="23"/>
          <w:szCs w:val="23"/>
        </w:rPr>
        <w:t>E LA CONSTITUCIÓN POLÍTICA, 18 Y</w:t>
      </w:r>
      <w:r w:rsidRPr="001D07A2">
        <w:rPr>
          <w:b/>
          <w:color w:val="auto"/>
          <w:sz w:val="23"/>
          <w:szCs w:val="23"/>
        </w:rPr>
        <w:t xml:space="preserve"> 28</w:t>
      </w:r>
      <w:r w:rsidR="00582135" w:rsidRPr="001D07A2">
        <w:rPr>
          <w:b/>
          <w:color w:val="auto"/>
          <w:sz w:val="23"/>
          <w:szCs w:val="23"/>
        </w:rPr>
        <w:t>,</w:t>
      </w:r>
      <w:r w:rsidRPr="001D07A2">
        <w:rPr>
          <w:b/>
          <w:color w:val="auto"/>
          <w:sz w:val="23"/>
          <w:szCs w:val="23"/>
        </w:rPr>
        <w:t xml:space="preserve"> FRACCIÓN XII DE LA LEY DE GOBIE</w:t>
      </w:r>
      <w:r w:rsidR="000140DE" w:rsidRPr="001D07A2">
        <w:rPr>
          <w:b/>
          <w:color w:val="auto"/>
          <w:sz w:val="23"/>
          <w:szCs w:val="23"/>
        </w:rPr>
        <w:t>RNO DEL PODER LEGISLATIVO, 117,</w:t>
      </w:r>
      <w:r w:rsidRPr="001D07A2">
        <w:rPr>
          <w:b/>
          <w:color w:val="auto"/>
          <w:sz w:val="23"/>
          <w:szCs w:val="23"/>
        </w:rPr>
        <w:t xml:space="preserve"> 118</w:t>
      </w:r>
      <w:r w:rsidR="000140DE" w:rsidRPr="001D07A2">
        <w:rPr>
          <w:b/>
          <w:color w:val="auto"/>
          <w:sz w:val="23"/>
          <w:szCs w:val="23"/>
        </w:rPr>
        <w:t xml:space="preserve"> Y 123</w:t>
      </w:r>
      <w:r w:rsidRPr="001D07A2">
        <w:rPr>
          <w:b/>
          <w:color w:val="auto"/>
          <w:sz w:val="23"/>
          <w:szCs w:val="23"/>
        </w:rPr>
        <w:t xml:space="preserve"> DEL REGLAMENTO DE LA LEY DE GOBIERNO DEL PODER LEGISLATIVO, TODOS DEL ESTADO DE YUCATÁN, EMITE </w:t>
      </w:r>
      <w:r w:rsidR="004403AA" w:rsidRPr="001D07A2">
        <w:rPr>
          <w:b/>
          <w:color w:val="auto"/>
          <w:sz w:val="23"/>
          <w:szCs w:val="23"/>
        </w:rPr>
        <w:t>EL</w:t>
      </w:r>
      <w:r w:rsidR="00582135" w:rsidRPr="001D07A2">
        <w:rPr>
          <w:b/>
          <w:color w:val="auto"/>
          <w:sz w:val="23"/>
          <w:szCs w:val="23"/>
        </w:rPr>
        <w:t xml:space="preserve"> SIGUIENTE</w:t>
      </w:r>
      <w:r w:rsidR="008F1CCD" w:rsidRPr="001D07A2">
        <w:rPr>
          <w:b/>
          <w:color w:val="auto"/>
          <w:sz w:val="23"/>
          <w:szCs w:val="23"/>
        </w:rPr>
        <w:t>,</w:t>
      </w:r>
    </w:p>
    <w:p w14:paraId="1E62A178" w14:textId="77777777" w:rsidR="00186CDE" w:rsidRPr="001D07A2" w:rsidRDefault="00186CDE" w:rsidP="00FA59C1">
      <w:pPr>
        <w:tabs>
          <w:tab w:val="left" w:pos="4678"/>
        </w:tabs>
        <w:spacing w:after="0" w:line="240" w:lineRule="auto"/>
        <w:ind w:left="0" w:right="62" w:firstLine="0"/>
        <w:rPr>
          <w:b/>
          <w:color w:val="auto"/>
          <w:sz w:val="23"/>
          <w:szCs w:val="23"/>
        </w:rPr>
      </w:pPr>
    </w:p>
    <w:p w14:paraId="46B355AA" w14:textId="3BA18866" w:rsidR="00D25443" w:rsidRPr="001D07A2" w:rsidRDefault="00410232" w:rsidP="00FA59C1">
      <w:pPr>
        <w:tabs>
          <w:tab w:val="left" w:pos="4678"/>
        </w:tabs>
        <w:spacing w:after="0" w:line="240" w:lineRule="auto"/>
        <w:ind w:left="0" w:right="62" w:firstLine="0"/>
        <w:jc w:val="center"/>
        <w:rPr>
          <w:b/>
          <w:color w:val="auto"/>
          <w:sz w:val="23"/>
          <w:szCs w:val="23"/>
        </w:rPr>
      </w:pPr>
      <w:r w:rsidRPr="001D07A2">
        <w:rPr>
          <w:b/>
          <w:color w:val="auto"/>
          <w:sz w:val="23"/>
          <w:szCs w:val="23"/>
        </w:rPr>
        <w:t>D E C R E T O</w:t>
      </w:r>
    </w:p>
    <w:p w14:paraId="57E8E0E7" w14:textId="77777777" w:rsidR="009B4268" w:rsidRPr="001D07A2" w:rsidRDefault="009B4268" w:rsidP="00FA59C1">
      <w:pPr>
        <w:spacing w:after="0" w:line="240" w:lineRule="auto"/>
        <w:ind w:left="0" w:right="488" w:firstLine="0"/>
        <w:rPr>
          <w:rFonts w:eastAsia="Times New Roman"/>
          <w:b/>
          <w:bCs/>
          <w:color w:val="auto"/>
          <w:sz w:val="23"/>
          <w:szCs w:val="23"/>
          <w:lang w:eastAsia="es-ES"/>
        </w:rPr>
      </w:pPr>
    </w:p>
    <w:p w14:paraId="5797CED8" w14:textId="77777777" w:rsidR="006618F3" w:rsidRPr="001D07A2" w:rsidRDefault="006618F3" w:rsidP="00FA59C1">
      <w:pPr>
        <w:spacing w:after="0" w:line="240" w:lineRule="auto"/>
        <w:ind w:left="0" w:firstLine="0"/>
        <w:rPr>
          <w:b/>
          <w:sz w:val="23"/>
          <w:szCs w:val="23"/>
        </w:rPr>
      </w:pPr>
      <w:r w:rsidRPr="001D07A2">
        <w:rPr>
          <w:b/>
          <w:sz w:val="23"/>
          <w:szCs w:val="23"/>
        </w:rPr>
        <w:t>Que modifica la Constitución Política del Estado de Yucatán; la Ley de Fiscalización de la Cuenta Pública del Estado de Yucatán, y la Ley del Presupuesto y Contabilidad Gubernamental del Estado de Yucatán, en materia de irreductibilidad del presupuesto de la Auditoría Superior del Estado de Yucatán y del Congreso del Estado de Yucatán.</w:t>
      </w:r>
    </w:p>
    <w:p w14:paraId="75E71D71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394FA9D1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  <w:r w:rsidRPr="001D07A2">
        <w:rPr>
          <w:b/>
          <w:sz w:val="23"/>
          <w:szCs w:val="23"/>
        </w:rPr>
        <w:t>Artículo primero.</w:t>
      </w:r>
      <w:r w:rsidRPr="001D07A2">
        <w:rPr>
          <w:sz w:val="23"/>
          <w:szCs w:val="23"/>
        </w:rPr>
        <w:t xml:space="preserve"> Se reforma el artículo 25, y se reforma el párrafo primero del artículo 43 Bis de la Constitución Política del Estado de Yucatán, para quedar como siguen:</w:t>
      </w:r>
    </w:p>
    <w:p w14:paraId="4032841A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6D02B6BB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  <w:r w:rsidRPr="001D07A2">
        <w:rPr>
          <w:b/>
          <w:sz w:val="23"/>
          <w:szCs w:val="23"/>
        </w:rPr>
        <w:t xml:space="preserve">Artículo 25.- </w:t>
      </w:r>
      <w:r w:rsidRPr="001D07A2">
        <w:rPr>
          <w:sz w:val="23"/>
          <w:szCs w:val="23"/>
        </w:rPr>
        <w:t xml:space="preserve">El presupuesto del Congreso del Estado, no podrá ser disminuido respecto al del año inmediato anterior y se incrementará anualmente, al menos, conforme al resultado de la inflación general anual registrada para el mes de diciembre del año anterior publicado por el Instituto Nacional de Estadística y Geografía en la primera quincena del mes de enero del año de su elaboración, sin exceder del 10% del presupuesto total asignado al Congreso el año anterior. </w:t>
      </w:r>
    </w:p>
    <w:p w14:paraId="1C29033F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6C6E3D29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  <w:r w:rsidRPr="001D07A2">
        <w:rPr>
          <w:b/>
          <w:sz w:val="23"/>
          <w:szCs w:val="23"/>
        </w:rPr>
        <w:t>Artículo 43 Bis.-</w:t>
      </w:r>
      <w:r w:rsidRPr="001D07A2">
        <w:rPr>
          <w:sz w:val="23"/>
          <w:szCs w:val="23"/>
        </w:rPr>
        <w:t xml:space="preserve"> La Auditoria Superior del Estado es un órgano con autonomía técnica, presupuestal y de gestión para el ejercicio de sus atribuciones, así como para decidir sobre su organización interna, funcionamiento y resoluciones en los términos que disponga la ley. El presupuesto de la Auditoria Superior del Estado no podrá ser disminuido respecto al del año inmediato anterior y se fijará anualmente y se incrementará anualmente, al menos, conforme al resultado de la inflación general anual registrada para el mes de diciembre del año anterior, publicado por el Instituto Nacional de Estadística y Geografía en la primera quincena del mes de enero del año de su elaboración, sin exceder del 5% del presupuesto total asignado en el año anterior.</w:t>
      </w:r>
    </w:p>
    <w:p w14:paraId="6830F64F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5C2D2D5A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…</w:t>
      </w:r>
    </w:p>
    <w:p w14:paraId="396631FB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4C31BF6B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…</w:t>
      </w:r>
    </w:p>
    <w:p w14:paraId="209838A3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2B895107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…</w:t>
      </w:r>
    </w:p>
    <w:p w14:paraId="0AC17F83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4DF63543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…</w:t>
      </w:r>
    </w:p>
    <w:p w14:paraId="3C458434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79661C42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…</w:t>
      </w:r>
    </w:p>
    <w:p w14:paraId="51EDA0E5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5D5716C5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…</w:t>
      </w:r>
    </w:p>
    <w:p w14:paraId="24426183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71117B13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…</w:t>
      </w:r>
    </w:p>
    <w:p w14:paraId="13471EAC" w14:textId="77777777" w:rsidR="006618F3" w:rsidRPr="001D07A2" w:rsidRDefault="006618F3" w:rsidP="00FA59C1">
      <w:pPr>
        <w:spacing w:after="0" w:line="240" w:lineRule="auto"/>
        <w:ind w:left="0" w:firstLine="0"/>
        <w:rPr>
          <w:b/>
          <w:sz w:val="23"/>
          <w:szCs w:val="23"/>
        </w:rPr>
      </w:pPr>
    </w:p>
    <w:p w14:paraId="2A706282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  <w:r w:rsidRPr="001D07A2">
        <w:rPr>
          <w:b/>
          <w:sz w:val="23"/>
          <w:szCs w:val="23"/>
        </w:rPr>
        <w:t xml:space="preserve">Artículo segundo. </w:t>
      </w:r>
      <w:r w:rsidRPr="001D07A2">
        <w:rPr>
          <w:sz w:val="23"/>
          <w:szCs w:val="23"/>
        </w:rPr>
        <w:t>Se adiciona un segundo párrafo al artículo 36 de la Ley de Fiscalización de la Cuenta Pública del Estado de Yucatán, para quedar como sigue:</w:t>
      </w:r>
    </w:p>
    <w:p w14:paraId="347FEDA5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2ACC934E" w14:textId="77777777" w:rsidR="006618F3" w:rsidRPr="001D07A2" w:rsidRDefault="006618F3" w:rsidP="00FA59C1">
      <w:pPr>
        <w:spacing w:after="0" w:line="240" w:lineRule="auto"/>
        <w:ind w:left="0" w:firstLine="0"/>
        <w:rPr>
          <w:b/>
          <w:sz w:val="23"/>
          <w:szCs w:val="23"/>
        </w:rPr>
      </w:pPr>
      <w:r w:rsidRPr="001D07A2">
        <w:rPr>
          <w:b/>
          <w:sz w:val="23"/>
          <w:szCs w:val="23"/>
        </w:rPr>
        <w:t>Artículo 36. …</w:t>
      </w:r>
    </w:p>
    <w:p w14:paraId="21A39CC8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053BF24E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…</w:t>
      </w:r>
    </w:p>
    <w:p w14:paraId="67CB3B14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7AA65690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El presupuesto de la Auditoria Superior del Estado no podrá ser disminuido respecto al del año inmediato anterior y se fijará anualmente, en términos de la Constitución Política del Estado de Yucatán.</w:t>
      </w:r>
    </w:p>
    <w:p w14:paraId="5A53CC85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528E1322" w14:textId="77777777" w:rsidR="006618F3" w:rsidRPr="001D07A2" w:rsidRDefault="006618F3" w:rsidP="00FA59C1">
      <w:pPr>
        <w:spacing w:after="0" w:line="240" w:lineRule="auto"/>
        <w:ind w:left="0" w:firstLine="0"/>
        <w:rPr>
          <w:b/>
          <w:sz w:val="23"/>
          <w:szCs w:val="23"/>
        </w:rPr>
      </w:pPr>
      <w:r w:rsidRPr="001D07A2">
        <w:rPr>
          <w:b/>
          <w:sz w:val="23"/>
          <w:szCs w:val="23"/>
        </w:rPr>
        <w:t>Artículo tercero.</w:t>
      </w:r>
      <w:r w:rsidRPr="001D07A2">
        <w:rPr>
          <w:sz w:val="23"/>
          <w:szCs w:val="23"/>
        </w:rPr>
        <w:t xml:space="preserve"> Se adiciona un párrafo quinto al artículo 7 de la Ley del Presupuesto y Contabilidad Gubernamental del Estado de Yucatán, para quedar como sigue:</w:t>
      </w:r>
      <w:r w:rsidRPr="001D07A2">
        <w:rPr>
          <w:b/>
          <w:sz w:val="23"/>
          <w:szCs w:val="23"/>
        </w:rPr>
        <w:t xml:space="preserve"> </w:t>
      </w:r>
    </w:p>
    <w:p w14:paraId="2F80D1D9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7BFF4B25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  <w:r w:rsidRPr="001D07A2">
        <w:rPr>
          <w:b/>
          <w:sz w:val="23"/>
          <w:szCs w:val="23"/>
        </w:rPr>
        <w:t>Artículo 7.</w:t>
      </w:r>
      <w:proofErr w:type="gramStart"/>
      <w:r w:rsidRPr="001D07A2">
        <w:rPr>
          <w:b/>
          <w:sz w:val="23"/>
          <w:szCs w:val="23"/>
        </w:rPr>
        <w:t>-</w:t>
      </w:r>
      <w:r w:rsidRPr="001D07A2">
        <w:rPr>
          <w:sz w:val="23"/>
          <w:szCs w:val="23"/>
        </w:rPr>
        <w:t xml:space="preserve"> …</w:t>
      </w:r>
      <w:proofErr w:type="gramEnd"/>
    </w:p>
    <w:p w14:paraId="1CC2755B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0BF2B811" w14:textId="6A75A6CE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r w:rsidRPr="001D07A2">
        <w:rPr>
          <w:sz w:val="23"/>
          <w:szCs w:val="23"/>
        </w:rPr>
        <w:t>…</w:t>
      </w:r>
    </w:p>
    <w:p w14:paraId="6B1CEF96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798C0DC2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  <w:r w:rsidRPr="001D07A2">
        <w:rPr>
          <w:sz w:val="23"/>
          <w:szCs w:val="23"/>
        </w:rPr>
        <w:tab/>
        <w:t>…</w:t>
      </w:r>
    </w:p>
    <w:p w14:paraId="50202AED" w14:textId="77777777" w:rsidR="005C5EF3" w:rsidRPr="001D07A2" w:rsidRDefault="005C5E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0CF8C46A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  <w:r w:rsidRPr="001D07A2">
        <w:rPr>
          <w:sz w:val="23"/>
          <w:szCs w:val="23"/>
        </w:rPr>
        <w:tab/>
        <w:t>…</w:t>
      </w:r>
    </w:p>
    <w:p w14:paraId="3E93D094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47B58ED7" w14:textId="77777777" w:rsidR="006618F3" w:rsidRPr="001D07A2" w:rsidRDefault="006618F3" w:rsidP="001D07A2">
      <w:pPr>
        <w:spacing w:after="0" w:line="240" w:lineRule="auto"/>
        <w:ind w:left="0" w:firstLine="708"/>
        <w:rPr>
          <w:sz w:val="23"/>
          <w:szCs w:val="23"/>
        </w:rPr>
      </w:pPr>
      <w:bookmarkStart w:id="0" w:name="_GoBack"/>
      <w:bookmarkEnd w:id="0"/>
      <w:r w:rsidRPr="001D07A2">
        <w:rPr>
          <w:sz w:val="23"/>
          <w:szCs w:val="23"/>
        </w:rPr>
        <w:t xml:space="preserve">La Secretaría, a más tardar el 1 de octubre del año correspondiente, para efectos de programación y </w:t>
      </w:r>
      <w:proofErr w:type="spellStart"/>
      <w:r w:rsidRPr="001D07A2">
        <w:rPr>
          <w:sz w:val="23"/>
          <w:szCs w:val="23"/>
        </w:rPr>
        <w:t>presupuestación</w:t>
      </w:r>
      <w:proofErr w:type="spellEnd"/>
      <w:r w:rsidRPr="001D07A2">
        <w:rPr>
          <w:sz w:val="23"/>
          <w:szCs w:val="23"/>
        </w:rPr>
        <w:t xml:space="preserve"> en los términos previstos en esta Ley y en la Ley de Disciplina Financiera, deberá de informar a la Junta de Gobierno y Coordinación Política del Poder Legislativo del Estado y al Consejo de la Judicatura del Poder Judicial del Estado; el monto máximo al que podrán acceder dentro de sus correspondientes presupuestos de egresos. </w:t>
      </w:r>
    </w:p>
    <w:p w14:paraId="71CC9F5D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520AA1E7" w14:textId="77777777" w:rsidR="006618F3" w:rsidRPr="001D07A2" w:rsidRDefault="006618F3" w:rsidP="00FA59C1">
      <w:pPr>
        <w:spacing w:after="0" w:line="240" w:lineRule="auto"/>
        <w:ind w:left="0" w:firstLine="0"/>
        <w:jc w:val="center"/>
        <w:rPr>
          <w:b/>
          <w:sz w:val="23"/>
          <w:szCs w:val="23"/>
        </w:rPr>
      </w:pPr>
      <w:r w:rsidRPr="001D07A2">
        <w:rPr>
          <w:b/>
          <w:sz w:val="23"/>
          <w:szCs w:val="23"/>
        </w:rPr>
        <w:t>Transitorios</w:t>
      </w:r>
    </w:p>
    <w:p w14:paraId="6B6F6F51" w14:textId="77777777" w:rsidR="006618F3" w:rsidRPr="001D07A2" w:rsidRDefault="006618F3" w:rsidP="00FA59C1">
      <w:pPr>
        <w:spacing w:after="0" w:line="240" w:lineRule="auto"/>
        <w:ind w:left="0" w:firstLine="0"/>
        <w:rPr>
          <w:b/>
          <w:sz w:val="23"/>
          <w:szCs w:val="23"/>
        </w:rPr>
      </w:pPr>
    </w:p>
    <w:p w14:paraId="2D0E5E5A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  <w:r w:rsidRPr="001D07A2">
        <w:rPr>
          <w:b/>
          <w:sz w:val="23"/>
          <w:szCs w:val="23"/>
        </w:rPr>
        <w:t>Entrada en vigor</w:t>
      </w:r>
    </w:p>
    <w:p w14:paraId="1B467A24" w14:textId="77777777" w:rsidR="006618F3" w:rsidRPr="001D07A2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  <w:r w:rsidRPr="001D07A2">
        <w:rPr>
          <w:b/>
          <w:sz w:val="23"/>
          <w:szCs w:val="23"/>
        </w:rPr>
        <w:t xml:space="preserve">Artículo primero. </w:t>
      </w:r>
      <w:r w:rsidRPr="001D07A2">
        <w:rPr>
          <w:sz w:val="23"/>
          <w:szCs w:val="23"/>
        </w:rPr>
        <w:t>Este decreto entrará en vigor el día de su publicación en el Diario Oficial del Gobierno del Estado de Yucatán.</w:t>
      </w:r>
    </w:p>
    <w:p w14:paraId="79C86994" w14:textId="77777777" w:rsidR="006618F3" w:rsidRDefault="006618F3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6DB4B3F1" w14:textId="77777777" w:rsidR="001D07A2" w:rsidRPr="001D07A2" w:rsidRDefault="001D07A2" w:rsidP="00FA59C1">
      <w:pPr>
        <w:spacing w:after="0" w:line="240" w:lineRule="auto"/>
        <w:ind w:left="0" w:firstLine="0"/>
        <w:rPr>
          <w:sz w:val="23"/>
          <w:szCs w:val="23"/>
        </w:rPr>
      </w:pPr>
    </w:p>
    <w:p w14:paraId="48680DAD" w14:textId="77777777" w:rsidR="001D07A2" w:rsidRDefault="001D07A2" w:rsidP="00FA59C1">
      <w:pPr>
        <w:spacing w:after="0" w:line="240" w:lineRule="auto"/>
        <w:ind w:left="0" w:firstLine="0"/>
        <w:rPr>
          <w:b/>
          <w:sz w:val="23"/>
          <w:szCs w:val="23"/>
        </w:rPr>
      </w:pPr>
    </w:p>
    <w:p w14:paraId="1AB8AC84" w14:textId="77777777" w:rsidR="006618F3" w:rsidRPr="001D07A2" w:rsidRDefault="006618F3" w:rsidP="00FA59C1">
      <w:pPr>
        <w:spacing w:after="0" w:line="240" w:lineRule="auto"/>
        <w:ind w:left="0" w:firstLine="0"/>
        <w:rPr>
          <w:b/>
          <w:sz w:val="23"/>
          <w:szCs w:val="23"/>
        </w:rPr>
      </w:pPr>
      <w:r w:rsidRPr="001D07A2">
        <w:rPr>
          <w:b/>
          <w:sz w:val="23"/>
          <w:szCs w:val="23"/>
        </w:rPr>
        <w:t xml:space="preserve">Aplicación </w:t>
      </w:r>
    </w:p>
    <w:p w14:paraId="4986EAC2" w14:textId="39BEF6C1" w:rsidR="009B4268" w:rsidRPr="001D07A2" w:rsidRDefault="006618F3" w:rsidP="00FA59C1">
      <w:pPr>
        <w:tabs>
          <w:tab w:val="left" w:pos="4678"/>
        </w:tabs>
        <w:spacing w:after="0" w:line="240" w:lineRule="auto"/>
        <w:ind w:left="0" w:right="62" w:firstLine="0"/>
        <w:rPr>
          <w:b/>
          <w:color w:val="auto"/>
          <w:sz w:val="23"/>
          <w:szCs w:val="23"/>
        </w:rPr>
      </w:pPr>
      <w:r w:rsidRPr="001D07A2">
        <w:rPr>
          <w:b/>
          <w:sz w:val="23"/>
          <w:szCs w:val="23"/>
        </w:rPr>
        <w:t xml:space="preserve">Artículo segundo. </w:t>
      </w:r>
      <w:r w:rsidRPr="001D07A2">
        <w:rPr>
          <w:sz w:val="23"/>
          <w:szCs w:val="23"/>
        </w:rPr>
        <w:t>Lo dispuesto en este decreto</w:t>
      </w:r>
      <w:r w:rsidRPr="001D07A2">
        <w:rPr>
          <w:b/>
          <w:sz w:val="23"/>
          <w:szCs w:val="23"/>
        </w:rPr>
        <w:t xml:space="preserve"> </w:t>
      </w:r>
      <w:r w:rsidRPr="001D07A2">
        <w:rPr>
          <w:sz w:val="23"/>
          <w:szCs w:val="23"/>
        </w:rPr>
        <w:t>deberá ser aplicado en el presupuesto de egresos 2025 y posteriores.</w:t>
      </w:r>
    </w:p>
    <w:p w14:paraId="47530947" w14:textId="77777777" w:rsidR="006618F3" w:rsidRPr="001D07A2" w:rsidRDefault="006618F3" w:rsidP="00FA59C1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 w:val="23"/>
          <w:szCs w:val="23"/>
        </w:rPr>
      </w:pPr>
    </w:p>
    <w:p w14:paraId="47033292" w14:textId="3A431C76" w:rsidR="00E70F74" w:rsidRPr="001D07A2" w:rsidRDefault="00E70F74" w:rsidP="00FA59C1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 w:val="23"/>
          <w:szCs w:val="23"/>
          <w:lang w:eastAsia="es-ES"/>
        </w:rPr>
      </w:pPr>
      <w:r w:rsidRPr="001D07A2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DADO EN LA SEDE DEL RECINTO DEL PODER LEGISLATIVO EN LA CIUDAD DE MÉRIDA, YUCATÁN, ESTADOS UNIDOS MEXICANOS A LOS </w:t>
      </w:r>
      <w:r w:rsidR="00B60A14" w:rsidRPr="001D07A2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OCHO </w:t>
      </w:r>
      <w:r w:rsidR="00D8568F" w:rsidRPr="001D07A2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DÍAS DEL MES DE </w:t>
      </w:r>
      <w:r w:rsidR="002E38DE" w:rsidRPr="001D07A2">
        <w:rPr>
          <w:rFonts w:eastAsia="Times New Roman"/>
          <w:b/>
          <w:bCs/>
          <w:color w:val="auto"/>
          <w:sz w:val="23"/>
          <w:szCs w:val="23"/>
          <w:lang w:eastAsia="es-ES"/>
        </w:rPr>
        <w:t xml:space="preserve">MAYO </w:t>
      </w:r>
      <w:r w:rsidR="00B431D0" w:rsidRPr="001D07A2">
        <w:rPr>
          <w:rFonts w:eastAsia="Times New Roman"/>
          <w:b/>
          <w:bCs/>
          <w:color w:val="auto"/>
          <w:sz w:val="23"/>
          <w:szCs w:val="23"/>
          <w:lang w:eastAsia="es-ES"/>
        </w:rPr>
        <w:t>DEL AÑO DOS MIL VEINTICUATRO</w:t>
      </w:r>
      <w:r w:rsidRPr="001D07A2">
        <w:rPr>
          <w:rFonts w:eastAsia="Times New Roman"/>
          <w:b/>
          <w:bCs/>
          <w:color w:val="auto"/>
          <w:sz w:val="23"/>
          <w:szCs w:val="23"/>
          <w:lang w:eastAsia="es-ES"/>
        </w:rPr>
        <w:t>.</w:t>
      </w:r>
    </w:p>
    <w:p w14:paraId="3DC55FA6" w14:textId="77777777" w:rsidR="005914FF" w:rsidRPr="001D07A2" w:rsidRDefault="005914FF" w:rsidP="00FA59C1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 w:val="23"/>
          <w:szCs w:val="23"/>
          <w:lang w:eastAsia="es-ES"/>
        </w:rPr>
      </w:pPr>
    </w:p>
    <w:p w14:paraId="74C025B6" w14:textId="1EBED5DF" w:rsidR="001006AD" w:rsidRPr="001D07A2" w:rsidRDefault="001006AD" w:rsidP="00FA59C1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  <w:r w:rsidRPr="001D07A2">
        <w:rPr>
          <w:b/>
          <w:sz w:val="23"/>
          <w:szCs w:val="23"/>
        </w:rPr>
        <w:t>PRESIDENTE</w:t>
      </w:r>
    </w:p>
    <w:p w14:paraId="4A5385FB" w14:textId="77777777" w:rsidR="00497B3B" w:rsidRPr="001D07A2" w:rsidRDefault="00497B3B" w:rsidP="00FA59C1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</w:p>
    <w:p w14:paraId="0147BDC3" w14:textId="77777777" w:rsidR="00497B3B" w:rsidRPr="001D07A2" w:rsidRDefault="00497B3B" w:rsidP="00FA59C1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</w:p>
    <w:p w14:paraId="38479192" w14:textId="77777777" w:rsidR="00497B3B" w:rsidRPr="001D07A2" w:rsidRDefault="00497B3B" w:rsidP="00FA59C1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</w:p>
    <w:p w14:paraId="0A739E13" w14:textId="77777777" w:rsidR="001006AD" w:rsidRPr="001D07A2" w:rsidRDefault="001006AD" w:rsidP="00FA59C1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  <w:r w:rsidRPr="001D07A2">
        <w:rPr>
          <w:b/>
          <w:sz w:val="23"/>
          <w:szCs w:val="23"/>
        </w:rPr>
        <w:t>DIP. LUIS RENÉ FERNÁNDEZ VIDAL.</w:t>
      </w:r>
    </w:p>
    <w:p w14:paraId="1083E232" w14:textId="77777777" w:rsidR="001006AD" w:rsidRPr="001D07A2" w:rsidRDefault="001006AD" w:rsidP="00FA59C1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</w:p>
    <w:p w14:paraId="604B7850" w14:textId="77777777" w:rsidR="00497B3B" w:rsidRPr="001D07A2" w:rsidRDefault="00497B3B" w:rsidP="00FA59C1">
      <w:pPr>
        <w:widowControl w:val="0"/>
        <w:spacing w:after="0" w:line="240" w:lineRule="auto"/>
        <w:ind w:hanging="11"/>
        <w:jc w:val="center"/>
        <w:rPr>
          <w:b/>
          <w:sz w:val="23"/>
          <w:szCs w:val="23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1D07A2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  <w:r w:rsidRPr="001D07A2">
              <w:rPr>
                <w:b/>
                <w:sz w:val="23"/>
                <w:szCs w:val="23"/>
              </w:rPr>
              <w:tab/>
            </w:r>
            <w:r w:rsidRPr="001D07A2">
              <w:rPr>
                <w:b/>
                <w:sz w:val="23"/>
                <w:szCs w:val="23"/>
              </w:rPr>
              <w:tab/>
              <w:t>SECRETARIA</w:t>
            </w:r>
          </w:p>
          <w:p w14:paraId="67551FA6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47AC13B2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2F7C7F30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56282103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  <w:r w:rsidRPr="001D07A2">
              <w:rPr>
                <w:b/>
                <w:sz w:val="23"/>
                <w:szCs w:val="23"/>
              </w:rPr>
              <w:t xml:space="preserve">DIP. </w:t>
            </w:r>
            <w:r w:rsidRPr="001D07A2">
              <w:rPr>
                <w:b/>
                <w:bCs/>
                <w:sz w:val="23"/>
                <w:szCs w:val="23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  <w:r w:rsidRPr="001D07A2">
              <w:rPr>
                <w:b/>
                <w:sz w:val="23"/>
                <w:szCs w:val="23"/>
              </w:rPr>
              <w:t>SECRETARIO</w:t>
            </w:r>
          </w:p>
          <w:p w14:paraId="50D516F9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19DF271A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20EBBF5A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</w:p>
          <w:p w14:paraId="0F18AE4C" w14:textId="77777777" w:rsidR="001006AD" w:rsidRPr="001D07A2" w:rsidRDefault="001006AD" w:rsidP="00FA59C1">
            <w:pPr>
              <w:widowControl w:val="0"/>
              <w:spacing w:after="0" w:line="240" w:lineRule="auto"/>
              <w:ind w:hanging="11"/>
              <w:jc w:val="center"/>
              <w:rPr>
                <w:b/>
                <w:sz w:val="23"/>
                <w:szCs w:val="23"/>
              </w:rPr>
            </w:pPr>
            <w:r w:rsidRPr="001D07A2">
              <w:rPr>
                <w:b/>
                <w:sz w:val="23"/>
                <w:szCs w:val="23"/>
              </w:rPr>
              <w:t>DIP. RAFAEL ALEJANDRO ECHAZARRETA TORRES.</w:t>
            </w:r>
          </w:p>
        </w:tc>
      </w:tr>
    </w:tbl>
    <w:p w14:paraId="57459356" w14:textId="77777777" w:rsidR="00EA6377" w:rsidRPr="001D07A2" w:rsidRDefault="00EA6377" w:rsidP="00FA59C1">
      <w:pPr>
        <w:widowControl w:val="0"/>
        <w:spacing w:after="0" w:line="240" w:lineRule="auto"/>
        <w:ind w:left="0" w:right="51" w:firstLine="0"/>
        <w:jc w:val="center"/>
        <w:rPr>
          <w:sz w:val="23"/>
          <w:szCs w:val="23"/>
        </w:rPr>
      </w:pPr>
    </w:p>
    <w:sectPr w:rsidR="00EA6377" w:rsidRPr="001D07A2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1D07A2" w:rsidRPr="001D07A2">
          <w:rPr>
            <w:rFonts w:ascii="Arial" w:hAnsi="Arial" w:cs="Arial"/>
            <w:noProof/>
            <w:lang w:val="es-ES"/>
          </w:rPr>
          <w:t>3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E5F"/>
    <w:rsid w:val="001C52A3"/>
    <w:rsid w:val="001C5BF1"/>
    <w:rsid w:val="001C6020"/>
    <w:rsid w:val="001C7067"/>
    <w:rsid w:val="001D01FB"/>
    <w:rsid w:val="001D07A2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23310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8DE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1DE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5EF3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8F3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AF1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0A14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59C1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6B6C-2BD7-4D98-B220-D5506EF0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Polanco</cp:lastModifiedBy>
  <cp:revision>45</cp:revision>
  <cp:lastPrinted>2023-05-30T20:08:00Z</cp:lastPrinted>
  <dcterms:created xsi:type="dcterms:W3CDTF">2021-11-09T15:49:00Z</dcterms:created>
  <dcterms:modified xsi:type="dcterms:W3CDTF">2024-05-06T21:08:00Z</dcterms:modified>
</cp:coreProperties>
</file>